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D68" w:rsidRDefault="00463D68" w:rsidP="00463D68">
      <w:pPr>
        <w:jc w:val="right"/>
      </w:pPr>
      <w:r>
        <w:t>Приложение 1</w:t>
      </w:r>
    </w:p>
    <w:p w:rsidR="00463D68" w:rsidRDefault="00463D68" w:rsidP="00B60426">
      <w:pPr>
        <w:jc w:val="center"/>
      </w:pPr>
    </w:p>
    <w:p w:rsidR="00971FF5" w:rsidRDefault="00B60426" w:rsidP="00B60426">
      <w:pPr>
        <w:jc w:val="center"/>
      </w:pPr>
      <w:r>
        <w:t xml:space="preserve">Перечень административных </w:t>
      </w:r>
      <w:r w:rsidR="0082233B">
        <w:t>процедур</w:t>
      </w:r>
      <w:r w:rsidR="000243F6" w:rsidRPr="000243F6">
        <w:t>, осуществляемых государственными органами и иными организациями по заявлениям граждан</w:t>
      </w:r>
      <w:r w:rsidR="000243F6">
        <w:t>, утверждённый</w:t>
      </w:r>
      <w:r w:rsidR="000243F6" w:rsidRPr="000243F6">
        <w:rPr>
          <w:rFonts w:cs="Times New Roman"/>
          <w:sz w:val="22"/>
          <w:lang w:eastAsia="en-US"/>
        </w:rPr>
        <w:t xml:space="preserve"> </w:t>
      </w:r>
      <w:r w:rsidR="000243F6" w:rsidRPr="000243F6">
        <w:rPr>
          <w:sz w:val="22"/>
        </w:rPr>
        <w:t xml:space="preserve"> </w:t>
      </w:r>
      <w:r w:rsidR="0031589A">
        <w:t xml:space="preserve">Указом Президента Республики Беларусь от 26.04.2010 </w:t>
      </w:r>
      <w:r>
        <w:t xml:space="preserve"> № 200</w:t>
      </w:r>
      <w:r w:rsidR="000243F6">
        <w:t>,</w:t>
      </w:r>
      <w:r w:rsidR="0082233B">
        <w:t xml:space="preserve"> </w:t>
      </w:r>
      <w:r w:rsidR="00B04198">
        <w:t>подлежащих</w:t>
      </w:r>
      <w:r>
        <w:t xml:space="preserve"> осуществлению через служб</w:t>
      </w:r>
      <w:r w:rsidR="00E26F0D">
        <w:t>ы</w:t>
      </w:r>
      <w:r>
        <w:t xml:space="preserve"> «одно окно» администраций районов г.Минска по экстерриториальному принципу</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9770"/>
      </w:tblGrid>
      <w:tr w:rsidR="000243F6" w:rsidRPr="00971FF5" w:rsidTr="000243F6">
        <w:trPr>
          <w:trHeight w:val="315"/>
        </w:trPr>
        <w:tc>
          <w:tcPr>
            <w:tcW w:w="578" w:type="dxa"/>
            <w:vMerge w:val="restart"/>
            <w:shd w:val="clear" w:color="auto" w:fill="auto"/>
            <w:vAlign w:val="center"/>
            <w:hideMark/>
          </w:tcPr>
          <w:p w:rsidR="000243F6" w:rsidRPr="00971FF5" w:rsidRDefault="000243F6" w:rsidP="00971FF5">
            <w:pPr>
              <w:jc w:val="center"/>
              <w:rPr>
                <w:rFonts w:eastAsia="Times New Roman" w:cs="Times New Roman"/>
                <w:b/>
                <w:bCs/>
                <w:sz w:val="18"/>
                <w:szCs w:val="18"/>
              </w:rPr>
            </w:pPr>
            <w:r w:rsidRPr="00971FF5">
              <w:rPr>
                <w:rFonts w:eastAsia="Times New Roman" w:cs="Times New Roman"/>
                <w:b/>
                <w:bCs/>
                <w:sz w:val="18"/>
                <w:szCs w:val="18"/>
              </w:rPr>
              <w:t>№№</w:t>
            </w:r>
            <w:r w:rsidRPr="00971FF5">
              <w:rPr>
                <w:rFonts w:eastAsia="Times New Roman" w:cs="Times New Roman"/>
                <w:b/>
                <w:bCs/>
                <w:sz w:val="18"/>
                <w:szCs w:val="18"/>
              </w:rPr>
              <w:br/>
              <w:t>п/п</w:t>
            </w:r>
          </w:p>
        </w:tc>
        <w:tc>
          <w:tcPr>
            <w:tcW w:w="9770" w:type="dxa"/>
            <w:vMerge w:val="restart"/>
            <w:shd w:val="clear" w:color="auto" w:fill="auto"/>
            <w:vAlign w:val="center"/>
            <w:hideMark/>
          </w:tcPr>
          <w:p w:rsidR="000243F6" w:rsidRPr="00971FF5" w:rsidRDefault="000243F6" w:rsidP="00971FF5">
            <w:pPr>
              <w:jc w:val="center"/>
              <w:rPr>
                <w:rFonts w:eastAsia="Times New Roman" w:cs="Times New Roman"/>
                <w:b/>
                <w:bCs/>
                <w:sz w:val="18"/>
                <w:szCs w:val="18"/>
                <w:lang w:val="en-US"/>
              </w:rPr>
            </w:pPr>
            <w:r>
              <w:rPr>
                <w:rFonts w:eastAsia="Times New Roman" w:cs="Times New Roman"/>
                <w:b/>
                <w:bCs/>
                <w:sz w:val="18"/>
                <w:szCs w:val="18"/>
              </w:rPr>
              <w:t>Наименование административной процедуры</w:t>
            </w:r>
          </w:p>
        </w:tc>
      </w:tr>
      <w:tr w:rsidR="000243F6" w:rsidRPr="00971FF5" w:rsidTr="000243F6">
        <w:trPr>
          <w:trHeight w:val="458"/>
        </w:trPr>
        <w:tc>
          <w:tcPr>
            <w:tcW w:w="578" w:type="dxa"/>
            <w:vMerge/>
            <w:vAlign w:val="center"/>
            <w:hideMark/>
          </w:tcPr>
          <w:p w:rsidR="000243F6" w:rsidRPr="00971FF5" w:rsidRDefault="000243F6" w:rsidP="00971FF5">
            <w:pPr>
              <w:rPr>
                <w:rFonts w:eastAsia="Times New Roman" w:cs="Times New Roman"/>
                <w:b/>
                <w:bCs/>
                <w:sz w:val="18"/>
                <w:szCs w:val="18"/>
              </w:rPr>
            </w:pPr>
          </w:p>
        </w:tc>
        <w:tc>
          <w:tcPr>
            <w:tcW w:w="9770" w:type="dxa"/>
            <w:vMerge/>
            <w:vAlign w:val="center"/>
            <w:hideMark/>
          </w:tcPr>
          <w:p w:rsidR="000243F6" w:rsidRPr="00971FF5" w:rsidRDefault="000243F6" w:rsidP="00971FF5">
            <w:pPr>
              <w:rPr>
                <w:rFonts w:eastAsia="Times New Roman" w:cs="Times New Roman"/>
                <w:b/>
                <w:bCs/>
                <w:sz w:val="18"/>
                <w:szCs w:val="18"/>
              </w:rPr>
            </w:pPr>
          </w:p>
        </w:tc>
      </w:tr>
      <w:tr w:rsidR="000243F6" w:rsidRPr="00971FF5" w:rsidTr="000243F6">
        <w:trPr>
          <w:trHeight w:val="458"/>
        </w:trPr>
        <w:tc>
          <w:tcPr>
            <w:tcW w:w="578" w:type="dxa"/>
            <w:vMerge/>
            <w:vAlign w:val="center"/>
            <w:hideMark/>
          </w:tcPr>
          <w:p w:rsidR="000243F6" w:rsidRPr="00971FF5" w:rsidRDefault="000243F6" w:rsidP="00971FF5">
            <w:pPr>
              <w:rPr>
                <w:rFonts w:eastAsia="Times New Roman" w:cs="Times New Roman"/>
                <w:b/>
                <w:bCs/>
                <w:sz w:val="18"/>
                <w:szCs w:val="18"/>
              </w:rPr>
            </w:pPr>
          </w:p>
        </w:tc>
        <w:tc>
          <w:tcPr>
            <w:tcW w:w="9770" w:type="dxa"/>
            <w:vMerge/>
            <w:vAlign w:val="center"/>
            <w:hideMark/>
          </w:tcPr>
          <w:p w:rsidR="000243F6" w:rsidRPr="00971FF5" w:rsidRDefault="000243F6" w:rsidP="00971FF5">
            <w:pPr>
              <w:rPr>
                <w:rFonts w:eastAsia="Times New Roman" w:cs="Times New Roman"/>
                <w:b/>
                <w:bCs/>
                <w:sz w:val="18"/>
                <w:szCs w:val="18"/>
              </w:rPr>
            </w:pPr>
          </w:p>
        </w:tc>
      </w:tr>
      <w:tr w:rsidR="000243F6" w:rsidRPr="00971FF5" w:rsidTr="000243F6">
        <w:trPr>
          <w:trHeight w:val="4986"/>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1.1.2. Принятие решения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1.1.28, 1.1.31 и 1.1.32 настоящего пункта, пунктах 1.6 и 1.61, подпункте 2.47.1 пункта 2.47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r>
      <w:tr w:rsidR="000243F6" w:rsidRPr="00971FF5" w:rsidTr="000243F6">
        <w:trPr>
          <w:trHeight w:val="608"/>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1.1.4. Принятие ре</w:t>
            </w:r>
            <w:r w:rsidR="000A0251">
              <w:rPr>
                <w:rFonts w:eastAsia="Times New Roman" w:cs="Times New Roman"/>
                <w:color w:val="000000"/>
              </w:rPr>
              <w:t>ше</w:t>
            </w:r>
            <w:r w:rsidRPr="00971FF5">
              <w:rPr>
                <w:rFonts w:eastAsia="Times New Roman" w:cs="Times New Roman"/>
                <w:color w:val="000000"/>
              </w:rPr>
              <w:t>ния о даче согласия на залог жилого помещения, в котором проживают несовершеннолетние либо принадлежащего несовершеннолетним.</w:t>
            </w:r>
          </w:p>
        </w:tc>
      </w:tr>
      <w:tr w:rsidR="000243F6" w:rsidRPr="00971FF5" w:rsidTr="006B41D5">
        <w:trPr>
          <w:trHeight w:val="506"/>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1.1.7. Принятие решения о снятии граждан с учета нуждающихся в улучшении жилищных условий.</w:t>
            </w:r>
          </w:p>
        </w:tc>
      </w:tr>
      <w:tr w:rsidR="000243F6" w:rsidRPr="00971FF5" w:rsidTr="000243F6">
        <w:trPr>
          <w:trHeight w:val="555"/>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1.1.12. Принятие решения о признании жилого помещения не соответствующим установленным для проживания санитарным и техническим требованиям.</w:t>
            </w:r>
          </w:p>
        </w:tc>
      </w:tr>
      <w:tr w:rsidR="00E56A4C" w:rsidRPr="00971FF5" w:rsidTr="00E56A4C">
        <w:trPr>
          <w:trHeight w:val="295"/>
        </w:trPr>
        <w:tc>
          <w:tcPr>
            <w:tcW w:w="578" w:type="dxa"/>
            <w:shd w:val="clear" w:color="auto" w:fill="auto"/>
          </w:tcPr>
          <w:p w:rsidR="00E56A4C" w:rsidRPr="00D957CC" w:rsidRDefault="00E56A4C"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tcPr>
          <w:p w:rsidR="00E56A4C" w:rsidRPr="00971FF5" w:rsidRDefault="00E56A4C" w:rsidP="00971FF5">
            <w:pPr>
              <w:rPr>
                <w:rFonts w:eastAsia="Times New Roman" w:cs="Times New Roman"/>
                <w:color w:val="000000"/>
              </w:rPr>
            </w:pPr>
            <w:r w:rsidRPr="00E56A4C">
              <w:rPr>
                <w:rFonts w:eastAsia="Times New Roman" w:cs="Times New Roman"/>
                <w:color w:val="000000"/>
              </w:rPr>
              <w:t>1.1.14. Принятие решения о переводе жилого помещения в нежилое</w:t>
            </w:r>
          </w:p>
        </w:tc>
      </w:tr>
      <w:tr w:rsidR="000243F6" w:rsidRPr="00971FF5" w:rsidTr="000243F6">
        <w:trPr>
          <w:trHeight w:val="295"/>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1.1.15. Принятие решения об отмене решения о переводе жилого помещения в нежилое.</w:t>
            </w:r>
          </w:p>
        </w:tc>
      </w:tr>
      <w:tr w:rsidR="000243F6" w:rsidRPr="00971FF5" w:rsidTr="000243F6">
        <w:trPr>
          <w:trHeight w:val="355"/>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1.1.15</w:t>
            </w:r>
            <w:r w:rsidRPr="00971FF5">
              <w:rPr>
                <w:rFonts w:eastAsia="Times New Roman" w:cs="Times New Roman"/>
                <w:color w:val="000000"/>
                <w:vertAlign w:val="superscript"/>
              </w:rPr>
              <w:t>1</w:t>
            </w:r>
            <w:r w:rsidRPr="00971FF5">
              <w:rPr>
                <w:rFonts w:eastAsia="Times New Roman" w:cs="Times New Roman"/>
                <w:color w:val="000000"/>
              </w:rPr>
              <w:t>. Принятие решения о переводе нежилого помещения в жилое.</w:t>
            </w:r>
          </w:p>
        </w:tc>
      </w:tr>
      <w:tr w:rsidR="000243F6" w:rsidRPr="00971FF5" w:rsidTr="000243F6">
        <w:trPr>
          <w:trHeight w:val="332"/>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1.1.15</w:t>
            </w:r>
            <w:r w:rsidRPr="00971FF5">
              <w:rPr>
                <w:rFonts w:eastAsia="Times New Roman" w:cs="Times New Roman"/>
                <w:color w:val="000000"/>
                <w:vertAlign w:val="superscript"/>
              </w:rPr>
              <w:t>2</w:t>
            </w:r>
            <w:r w:rsidRPr="00971FF5">
              <w:rPr>
                <w:rFonts w:eastAsia="Times New Roman" w:cs="Times New Roman"/>
                <w:color w:val="000000"/>
              </w:rPr>
              <w:t>. Принятие решения об отмене решения о переводе нежилого помещения в жилое.</w:t>
            </w:r>
          </w:p>
        </w:tc>
      </w:tr>
      <w:tr w:rsidR="000243F6" w:rsidRPr="00971FF5" w:rsidTr="000243F6">
        <w:trPr>
          <w:trHeight w:val="267"/>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1.1.16. Принятие решения о сносе непригодного для проживания жилого помещения.</w:t>
            </w:r>
          </w:p>
        </w:tc>
      </w:tr>
      <w:tr w:rsidR="000243F6" w:rsidRPr="00971FF5" w:rsidTr="000243F6">
        <w:trPr>
          <w:trHeight w:val="583"/>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1.1.17. Принятие решения о согласовании использования не по назначению одноквартирного, блокированного жилого дома или его части.</w:t>
            </w:r>
          </w:p>
        </w:tc>
      </w:tr>
      <w:tr w:rsidR="000243F6" w:rsidRPr="00971FF5" w:rsidTr="000243F6">
        <w:trPr>
          <w:trHeight w:val="587"/>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1.1.21. Принятие решения о согласовании (разрешении) переустройства и (или) перепланировки жилого помещения, нежилого помещения в жилом доме.</w:t>
            </w:r>
          </w:p>
        </w:tc>
      </w:tr>
      <w:tr w:rsidR="000243F6" w:rsidRPr="00971FF5" w:rsidTr="000243F6">
        <w:trPr>
          <w:trHeight w:val="628"/>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1.1.21</w:t>
            </w:r>
            <w:r w:rsidRPr="00971FF5">
              <w:rPr>
                <w:rFonts w:eastAsia="Times New Roman" w:cs="Times New Roman"/>
                <w:color w:val="000000"/>
                <w:vertAlign w:val="superscript"/>
              </w:rPr>
              <w:t>1</w:t>
            </w:r>
            <w:r w:rsidRPr="00971FF5">
              <w:rPr>
                <w:rFonts w:eastAsia="Times New Roman" w:cs="Times New Roman"/>
                <w:color w:val="000000"/>
              </w:rPr>
              <w:t>. Принятие решения о согласовании (разрешении) самовольных переустройства и (или) перепланировки жилого помещения, нежилого помещения в жилом доме.</w:t>
            </w:r>
          </w:p>
        </w:tc>
      </w:tr>
      <w:tr w:rsidR="000243F6" w:rsidRPr="00971FF5" w:rsidTr="006B41D5">
        <w:trPr>
          <w:trHeight w:val="289"/>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1.1.28.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r>
      <w:tr w:rsidR="000243F6" w:rsidRPr="00971FF5" w:rsidTr="000243F6">
        <w:trPr>
          <w:trHeight w:val="631"/>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1.15.1. Выдача согласования на установку</w:t>
            </w:r>
            <w:r w:rsidR="009805B4">
              <w:rPr>
                <w:rFonts w:eastAsia="Times New Roman" w:cs="Times New Roman"/>
                <w:color w:val="000000"/>
              </w:rPr>
              <w:t>, в том числе самовольную,</w:t>
            </w:r>
            <w:bookmarkStart w:id="0" w:name="_GoBack"/>
            <w:bookmarkEnd w:id="0"/>
            <w:r w:rsidRPr="00971FF5">
              <w:rPr>
                <w:rFonts w:eastAsia="Times New Roman" w:cs="Times New Roman"/>
                <w:color w:val="000000"/>
              </w:rPr>
              <w:t xml:space="preserve"> на крышах и фасадах многоквартирных жилых домов индивидуальных антенн и иных конструкций.</w:t>
            </w:r>
          </w:p>
        </w:tc>
      </w:tr>
      <w:tr w:rsidR="000243F6" w:rsidRPr="00971FF5" w:rsidTr="000243F6">
        <w:trPr>
          <w:trHeight w:val="1544"/>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463D68">
            <w:pPr>
              <w:rPr>
                <w:rFonts w:eastAsia="Times New Roman" w:cs="Times New Roman"/>
                <w:color w:val="000000"/>
              </w:rPr>
            </w:pPr>
            <w:r>
              <w:rPr>
                <w:color w:val="000000"/>
              </w:rPr>
              <w:t>2.47.1. Принятие решения о досрочном распоряжении</w:t>
            </w:r>
            <w:r>
              <w:rPr>
                <w:color w:val="C00000"/>
              </w:rPr>
              <w:t xml:space="preserve"> </w:t>
            </w:r>
            <w:r w:rsidR="00AA5AEF">
              <w:rPr>
                <w:color w:val="000000"/>
              </w:rPr>
              <w:t>средствами семейного капитала</w:t>
            </w:r>
            <w:r>
              <w:rPr>
                <w:color w:val="000000"/>
              </w:rPr>
              <w:t xml:space="preserve">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r>
      <w:tr w:rsidR="000243F6" w:rsidRPr="00971FF5" w:rsidTr="000243F6">
        <w:trPr>
          <w:trHeight w:val="1724"/>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6A7F82" w:rsidRDefault="000243F6" w:rsidP="00463D68">
            <w:pPr>
              <w:rPr>
                <w:color w:val="000000"/>
              </w:rPr>
            </w:pPr>
            <w:r>
              <w:rPr>
                <w:color w:val="000000"/>
              </w:rPr>
              <w:t>2.47.2 Принятие решения о досрочном распоряжении средствами семейного капитала на получение на платной основе</w:t>
            </w:r>
            <w:r>
              <w:rPr>
                <w:color w:val="00B050"/>
              </w:rPr>
              <w:t xml:space="preserve"> </w:t>
            </w:r>
            <w:r w:rsidRPr="00463D68">
              <w:t xml:space="preserve">общего высшего образования, специального высшего образования, среднего специального </w:t>
            </w:r>
            <w:r>
              <w:rPr>
                <w:color w:val="000000"/>
              </w:rPr>
              <w:t>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r>
      <w:tr w:rsidR="000243F6" w:rsidRPr="00971FF5" w:rsidTr="000243F6">
        <w:trPr>
          <w:trHeight w:val="416"/>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6A7F82" w:rsidRDefault="000243F6" w:rsidP="00463D68">
            <w:pPr>
              <w:rPr>
                <w:color w:val="000000"/>
              </w:rPr>
            </w:pPr>
            <w:r>
              <w:rPr>
                <w:color w:val="000000"/>
              </w:rPr>
              <w:t>2.47.3 Принятие решения о досрочном распоряжении средствами семейного капитала  на получение платных медицинских услуг, оказываемых организациями здравоохранения</w:t>
            </w:r>
          </w:p>
        </w:tc>
      </w:tr>
      <w:tr w:rsidR="000243F6" w:rsidRPr="00971FF5" w:rsidTr="000243F6">
        <w:trPr>
          <w:trHeight w:val="838"/>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6A7F82" w:rsidRDefault="000243F6" w:rsidP="00463D68">
            <w:pPr>
              <w:rPr>
                <w:color w:val="000000"/>
              </w:rPr>
            </w:pPr>
            <w:r>
              <w:rPr>
                <w:color w:val="000000"/>
              </w:rPr>
              <w:t>2.47.4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r>
      <w:tr w:rsidR="000243F6" w:rsidRPr="00971FF5" w:rsidTr="000243F6">
        <w:trPr>
          <w:trHeight w:val="836"/>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6A7F82" w:rsidRDefault="000243F6" w:rsidP="00463D68">
            <w:pPr>
              <w:rPr>
                <w:color w:val="000000"/>
              </w:rPr>
            </w:pPr>
            <w:r>
              <w:rPr>
                <w:color w:val="000000"/>
              </w:rPr>
              <w:t xml:space="preserve">2.48. </w:t>
            </w:r>
            <w:r w:rsidR="00AA5AEF">
              <w:rPr>
                <w:color w:val="000000"/>
              </w:rPr>
              <w:t>Принятие решения о распоряжении</w:t>
            </w:r>
            <w:r>
              <w:rPr>
                <w:color w:val="C00000"/>
              </w:rPr>
              <w:t xml:space="preserve"> </w:t>
            </w:r>
            <w:r>
              <w:rPr>
                <w:color w:val="000000"/>
              </w:rPr>
              <w:t>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tc>
      </w:tr>
      <w:tr w:rsidR="000243F6" w:rsidRPr="00971FF5" w:rsidTr="000243F6">
        <w:trPr>
          <w:trHeight w:val="312"/>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3.2. Выдача удостоверения инвалида Отечественной войны.</w:t>
            </w:r>
          </w:p>
        </w:tc>
      </w:tr>
      <w:tr w:rsidR="000243F6" w:rsidRPr="00971FF5" w:rsidTr="000243F6">
        <w:trPr>
          <w:trHeight w:val="1944"/>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6A7F82" w:rsidRDefault="000243F6" w:rsidP="00463D68">
            <w:pPr>
              <w:rPr>
                <w:color w:val="000000"/>
              </w:rPr>
            </w:pPr>
            <w:r>
              <w:rPr>
                <w:color w:val="000000"/>
              </w:rPr>
              <w:t>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r>
      <w:tr w:rsidR="000243F6" w:rsidRPr="00971FF5" w:rsidTr="000243F6">
        <w:trPr>
          <w:trHeight w:val="838"/>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r>
      <w:tr w:rsidR="000243F6" w:rsidRPr="00971FF5" w:rsidTr="000243F6">
        <w:trPr>
          <w:trHeight w:val="1126"/>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r>
      <w:tr w:rsidR="000243F6" w:rsidRPr="00971FF5" w:rsidTr="000243F6">
        <w:trPr>
          <w:trHeight w:val="1124"/>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r>
      <w:tr w:rsidR="000243F6" w:rsidRPr="00971FF5" w:rsidTr="000243F6">
        <w:trPr>
          <w:trHeight w:val="859"/>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44699C" w:rsidRDefault="000243F6" w:rsidP="0044699C">
            <w:pPr>
              <w:rPr>
                <w:color w:val="000000"/>
              </w:rPr>
            </w:pPr>
            <w:r>
              <w:rPr>
                <w:color w:val="000000"/>
              </w:rPr>
              <w:t xml:space="preserve">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w:t>
            </w:r>
            <w:r w:rsidRPr="008D032D">
              <w:t xml:space="preserve">г. N </w:t>
            </w:r>
            <w:r w:rsidRPr="00463D68">
              <w:t xml:space="preserve">1594-XII </w:t>
            </w:r>
            <w:r>
              <w:rPr>
                <w:color w:val="000000"/>
              </w:rPr>
              <w:t>«О ветеранах».</w:t>
            </w:r>
          </w:p>
        </w:tc>
      </w:tr>
      <w:tr w:rsidR="000243F6" w:rsidRPr="00971FF5" w:rsidTr="000243F6">
        <w:trPr>
          <w:trHeight w:val="836"/>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r>
      <w:tr w:rsidR="000243F6" w:rsidRPr="00971FF5" w:rsidTr="000243F6">
        <w:trPr>
          <w:trHeight w:val="565"/>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3.13</w:t>
            </w:r>
            <w:r w:rsidRPr="00971FF5">
              <w:rPr>
                <w:rFonts w:eastAsia="Times New Roman" w:cs="Times New Roman"/>
                <w:color w:val="000000"/>
                <w:vertAlign w:val="superscript"/>
              </w:rPr>
              <w:t>1</w:t>
            </w:r>
            <w:r w:rsidRPr="00971FF5">
              <w:rPr>
                <w:rFonts w:eastAsia="Times New Roman" w:cs="Times New Roman"/>
                <w:color w:val="000000"/>
              </w:rPr>
              <w:t>.2.  Выдача удос</w:t>
            </w:r>
            <w:r w:rsidR="000A0251">
              <w:rPr>
                <w:rFonts w:eastAsia="Times New Roman" w:cs="Times New Roman"/>
                <w:color w:val="000000"/>
              </w:rPr>
              <w:t xml:space="preserve">товерения национального образца </w:t>
            </w:r>
            <w:r w:rsidRPr="00971FF5">
              <w:rPr>
                <w:rFonts w:eastAsia="Times New Roman" w:cs="Times New Roman"/>
                <w:color w:val="000000"/>
              </w:rPr>
              <w:t>инвалида боевых действий на территории других государств.</w:t>
            </w:r>
          </w:p>
        </w:tc>
      </w:tr>
      <w:tr w:rsidR="000243F6" w:rsidRPr="00971FF5" w:rsidTr="006B41D5">
        <w:trPr>
          <w:trHeight w:val="1281"/>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r>
      <w:tr w:rsidR="000243F6" w:rsidRPr="00971FF5" w:rsidTr="000243F6">
        <w:trPr>
          <w:trHeight w:val="845"/>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 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r>
      <w:tr w:rsidR="007B78C2" w:rsidRPr="00971FF5" w:rsidTr="007B78C2">
        <w:trPr>
          <w:trHeight w:val="626"/>
        </w:trPr>
        <w:tc>
          <w:tcPr>
            <w:tcW w:w="578" w:type="dxa"/>
            <w:shd w:val="clear" w:color="auto" w:fill="auto"/>
          </w:tcPr>
          <w:p w:rsidR="007B78C2" w:rsidRPr="00D957CC" w:rsidRDefault="007B78C2"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tcPr>
          <w:p w:rsidR="007B78C2" w:rsidRPr="00971FF5" w:rsidRDefault="007B78C2" w:rsidP="00971FF5">
            <w:pPr>
              <w:rPr>
                <w:rFonts w:eastAsia="Times New Roman" w:cs="Times New Roman"/>
                <w:color w:val="000000"/>
              </w:rPr>
            </w:pPr>
            <w:r>
              <w:rPr>
                <w:rFonts w:eastAsia="Times New Roman" w:cs="Times New Roman"/>
                <w:color w:val="000000"/>
              </w:rPr>
              <w:t xml:space="preserve">4.10. </w:t>
            </w:r>
            <w:r w:rsidRPr="007B78C2">
              <w:rPr>
                <w:rFonts w:eastAsia="Times New Roman" w:cs="Times New Roman"/>
                <w:color w:val="000000"/>
              </w:rPr>
              <w:t>Принятие решения об объявлении несовершеннолетнего полностью дееспособным (эмансипация)</w:t>
            </w:r>
          </w:p>
        </w:tc>
      </w:tr>
      <w:tr w:rsidR="007B78C2" w:rsidRPr="00971FF5" w:rsidTr="006B41D5">
        <w:trPr>
          <w:trHeight w:val="528"/>
        </w:trPr>
        <w:tc>
          <w:tcPr>
            <w:tcW w:w="578" w:type="dxa"/>
            <w:shd w:val="clear" w:color="auto" w:fill="auto"/>
          </w:tcPr>
          <w:p w:rsidR="007B78C2" w:rsidRPr="00D957CC" w:rsidRDefault="007B78C2"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tcPr>
          <w:p w:rsidR="007B78C2" w:rsidRDefault="007B78C2" w:rsidP="00971FF5">
            <w:pPr>
              <w:rPr>
                <w:rFonts w:eastAsia="Times New Roman" w:cs="Times New Roman"/>
                <w:color w:val="000000"/>
              </w:rPr>
            </w:pPr>
            <w:r>
              <w:rPr>
                <w:rFonts w:eastAsia="Times New Roman" w:cs="Times New Roman"/>
                <w:color w:val="000000"/>
              </w:rPr>
              <w:t>4.11.</w:t>
            </w:r>
            <w:r w:rsidRPr="007B78C2">
              <w:rPr>
                <w:rFonts w:eastAsia="Times New Roman" w:cs="Times New Roman"/>
                <w:color w:val="000000"/>
              </w:rPr>
              <w:t>Принятие решения об освобождении опекунов, попечителей от выполнения ими своих обязанностей</w:t>
            </w:r>
          </w:p>
        </w:tc>
      </w:tr>
      <w:tr w:rsidR="000243F6" w:rsidRPr="00971FF5" w:rsidTr="000243F6">
        <w:trPr>
          <w:trHeight w:val="481"/>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r>
      <w:tr w:rsidR="000243F6" w:rsidRPr="00971FF5" w:rsidTr="000243F6">
        <w:trPr>
          <w:trHeight w:val="1481"/>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r>
      <w:tr w:rsidR="000243F6" w:rsidRPr="00971FF5" w:rsidTr="000243F6">
        <w:trPr>
          <w:trHeight w:val="281"/>
        </w:trPr>
        <w:tc>
          <w:tcPr>
            <w:tcW w:w="578" w:type="dxa"/>
            <w:shd w:val="clear" w:color="auto" w:fill="auto"/>
          </w:tcPr>
          <w:p w:rsidR="000243F6" w:rsidRPr="00920855" w:rsidRDefault="000243F6" w:rsidP="0092085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xml:space="preserve">16.6. </w:t>
            </w:r>
            <w:r w:rsidR="005A2D8D" w:rsidRPr="005A2D8D">
              <w:rPr>
                <w:rFonts w:eastAsia="Times New Roman" w:cs="Times New Roman"/>
                <w:color w:val="000000"/>
              </w:rPr>
              <w:t>Выдача разрешения на удаление или пересадку объектов растительного мира</w:t>
            </w:r>
          </w:p>
        </w:tc>
      </w:tr>
      <w:tr w:rsidR="007B78C2" w:rsidRPr="00971FF5" w:rsidTr="000243F6">
        <w:trPr>
          <w:trHeight w:val="281"/>
        </w:trPr>
        <w:tc>
          <w:tcPr>
            <w:tcW w:w="578" w:type="dxa"/>
            <w:shd w:val="clear" w:color="auto" w:fill="auto"/>
          </w:tcPr>
          <w:p w:rsidR="007B78C2" w:rsidRPr="00920855" w:rsidRDefault="007B78C2" w:rsidP="0092085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tcPr>
          <w:p w:rsidR="007B78C2" w:rsidRPr="00971FF5" w:rsidRDefault="007B78C2" w:rsidP="00971FF5">
            <w:pPr>
              <w:rPr>
                <w:rFonts w:eastAsia="Times New Roman" w:cs="Times New Roman"/>
                <w:color w:val="000000"/>
              </w:rPr>
            </w:pPr>
            <w:r>
              <w:rPr>
                <w:rFonts w:eastAsia="Times New Roman" w:cs="Times New Roman"/>
                <w:color w:val="000000"/>
              </w:rPr>
              <w:t xml:space="preserve">22.8. </w:t>
            </w:r>
            <w:r w:rsidRPr="007B78C2">
              <w:rPr>
                <w:rFonts w:eastAsia="Times New Roman" w:cs="Times New Roman"/>
                <w:color w:val="000000"/>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r>
      <w:tr w:rsidR="000243F6" w:rsidRPr="00971FF5" w:rsidTr="000243F6">
        <w:trPr>
          <w:trHeight w:val="716"/>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  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r>
      <w:tr w:rsidR="000243F6" w:rsidRPr="00971FF5" w:rsidTr="000243F6">
        <w:trPr>
          <w:trHeight w:val="789"/>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22.9</w:t>
            </w:r>
            <w:r w:rsidRPr="00971FF5">
              <w:rPr>
                <w:rFonts w:eastAsia="Times New Roman" w:cs="Times New Roman"/>
                <w:color w:val="000000"/>
                <w:vertAlign w:val="superscript"/>
              </w:rPr>
              <w:t>1</w:t>
            </w:r>
            <w:r w:rsidRPr="00971FF5">
              <w:rPr>
                <w:rFonts w:eastAsia="Times New Roman" w:cs="Times New Roman"/>
                <w:color w:val="00000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r>
      <w:tr w:rsidR="000243F6" w:rsidRPr="00971FF5" w:rsidTr="000243F6">
        <w:trPr>
          <w:trHeight w:val="1128"/>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276118" w:rsidRDefault="000243F6" w:rsidP="00276118">
            <w:pPr>
              <w:rPr>
                <w:color w:val="000000"/>
              </w:rPr>
            </w:pPr>
            <w:r>
              <w:rPr>
                <w:color w:val="000000"/>
              </w:rPr>
              <w:t>22.9</w:t>
            </w:r>
            <w:r>
              <w:rPr>
                <w:color w:val="000000"/>
                <w:vertAlign w:val="superscript"/>
              </w:rPr>
              <w:t>2</w:t>
            </w:r>
            <w:r>
              <w:rPr>
                <w:color w:val="000000"/>
              </w:rPr>
              <w:t xml:space="preserve">. </w:t>
            </w:r>
            <w:r w:rsidRPr="00463D68">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r>
      <w:tr w:rsidR="000243F6" w:rsidRPr="00971FF5" w:rsidTr="000243F6">
        <w:trPr>
          <w:trHeight w:val="821"/>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22.9</w:t>
            </w:r>
            <w:r w:rsidRPr="00971FF5">
              <w:rPr>
                <w:rFonts w:eastAsia="Times New Roman" w:cs="Times New Roman"/>
                <w:color w:val="000000"/>
                <w:vertAlign w:val="superscript"/>
              </w:rPr>
              <w:t>3</w:t>
            </w:r>
            <w:r w:rsidRPr="00971FF5">
              <w:rPr>
                <w:rFonts w:eastAsia="Times New Roman" w:cs="Times New Roman"/>
                <w:color w:val="000000"/>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r>
      <w:tr w:rsidR="000243F6" w:rsidRPr="00971FF5" w:rsidTr="000243F6">
        <w:trPr>
          <w:trHeight w:val="2548"/>
        </w:trPr>
        <w:tc>
          <w:tcPr>
            <w:tcW w:w="578" w:type="dxa"/>
            <w:shd w:val="clear" w:color="auto" w:fill="auto"/>
          </w:tcPr>
          <w:p w:rsidR="000243F6" w:rsidRPr="00D957CC" w:rsidRDefault="000243F6" w:rsidP="001A3875">
            <w:pPr>
              <w:pStyle w:val="a5"/>
              <w:numPr>
                <w:ilvl w:val="0"/>
                <w:numId w:val="1"/>
              </w:numPr>
              <w:ind w:left="333" w:hanging="333"/>
              <w:rPr>
                <w:rFonts w:ascii="Calibri" w:eastAsia="Times New Roman" w:hAnsi="Calibri" w:cs="Calibri"/>
                <w:color w:val="000000"/>
                <w:sz w:val="22"/>
                <w:szCs w:val="22"/>
              </w:rPr>
            </w:pPr>
          </w:p>
        </w:tc>
        <w:tc>
          <w:tcPr>
            <w:tcW w:w="9770" w:type="dxa"/>
            <w:shd w:val="clear" w:color="auto" w:fill="auto"/>
            <w:hideMark/>
          </w:tcPr>
          <w:p w:rsidR="000243F6" w:rsidRPr="00971FF5" w:rsidRDefault="000243F6" w:rsidP="00971FF5">
            <w:pPr>
              <w:rPr>
                <w:rFonts w:eastAsia="Times New Roman" w:cs="Times New Roman"/>
                <w:color w:val="000000"/>
              </w:rPr>
            </w:pPr>
            <w:r w:rsidRPr="00971FF5">
              <w:rPr>
                <w:rFonts w:eastAsia="Times New Roman" w:cs="Times New Roman"/>
                <w:color w:val="000000"/>
              </w:rPr>
              <w:t>22.24.Выдача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bl>
    <w:p w:rsidR="00581348" w:rsidRDefault="00581348">
      <w:pPr>
        <w:sectPr w:rsidR="00581348" w:rsidSect="006B41D5">
          <w:headerReference w:type="default" r:id="rId7"/>
          <w:pgSz w:w="11906" w:h="16838"/>
          <w:pgMar w:top="568" w:right="850" w:bottom="426" w:left="1701" w:header="708" w:footer="708" w:gutter="0"/>
          <w:cols w:space="708"/>
          <w:titlePg/>
          <w:docGrid w:linePitch="360"/>
        </w:sectPr>
      </w:pPr>
    </w:p>
    <w:p w:rsidR="003F579D" w:rsidRDefault="003F579D"/>
    <w:p w:rsidR="00463D68" w:rsidRDefault="008C647D" w:rsidP="00AF2597">
      <w:pPr>
        <w:jc w:val="center"/>
      </w:pPr>
      <w:r>
        <w:t>Единый п</w:t>
      </w:r>
      <w:r w:rsidR="00463D68">
        <w:t>еречень административных процедур</w:t>
      </w:r>
      <w:r w:rsidR="00E26F0D">
        <w:t>,</w:t>
      </w:r>
      <w:r w:rsidR="00463D68">
        <w:t xml:space="preserve"> </w:t>
      </w:r>
      <w:r>
        <w:t>осуществляемых в отношении субъектов хозяйствования</w:t>
      </w:r>
      <w:r w:rsidR="00463D68" w:rsidRPr="00463D68">
        <w:t>, у</w:t>
      </w:r>
      <w:r>
        <w:t>тверждённый</w:t>
      </w:r>
      <w:r w:rsidR="00463D68" w:rsidRPr="00463D68">
        <w:t xml:space="preserve"> </w:t>
      </w:r>
      <w:r w:rsidR="00463D68">
        <w:t xml:space="preserve">постановлением Совета Министров </w:t>
      </w:r>
      <w:r w:rsidR="00463D68" w:rsidRPr="00463D68">
        <w:t>от 26.0</w:t>
      </w:r>
      <w:r w:rsidR="00463D68">
        <w:t>9</w:t>
      </w:r>
      <w:r w:rsidR="00463D68" w:rsidRPr="00463D68">
        <w:t>.20</w:t>
      </w:r>
      <w:r w:rsidR="00463D68">
        <w:t>21</w:t>
      </w:r>
      <w:r w:rsidR="00463D68" w:rsidRPr="00463D68">
        <w:t xml:space="preserve">  № </w:t>
      </w:r>
      <w:r w:rsidR="00463D68">
        <w:t>548</w:t>
      </w:r>
      <w:r w:rsidR="00D07B6F">
        <w:t>,</w:t>
      </w:r>
      <w:r w:rsidR="00463D68" w:rsidRPr="00463D68">
        <w:t xml:space="preserve"> </w:t>
      </w:r>
      <w:r w:rsidR="00C00332">
        <w:t>подлежащих</w:t>
      </w:r>
      <w:r w:rsidR="00E26F0D">
        <w:t xml:space="preserve">  осуществлению через службы</w:t>
      </w:r>
      <w:r w:rsidR="00463D68" w:rsidRPr="00463D68">
        <w:t xml:space="preserve"> «одно окно» администраций районов г.Минска по экстерриториальному принципу</w:t>
      </w:r>
      <w:r w:rsidR="00D07B6F">
        <w:t>.</w:t>
      </w:r>
    </w:p>
    <w:p w:rsidR="00D07B6F" w:rsidRDefault="00D07B6F" w:rsidP="00AF2597">
      <w:pPr>
        <w:jc w:val="cente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9629"/>
      </w:tblGrid>
      <w:tr w:rsidR="00D07B6F" w:rsidRPr="003F579D" w:rsidTr="00D07B6F">
        <w:trPr>
          <w:trHeight w:val="315"/>
        </w:trPr>
        <w:tc>
          <w:tcPr>
            <w:tcW w:w="578" w:type="dxa"/>
            <w:vMerge w:val="restart"/>
            <w:shd w:val="clear" w:color="auto" w:fill="auto"/>
            <w:vAlign w:val="center"/>
            <w:hideMark/>
          </w:tcPr>
          <w:p w:rsidR="00D07B6F" w:rsidRPr="003F579D" w:rsidRDefault="00D07B6F" w:rsidP="006A3982">
            <w:pPr>
              <w:jc w:val="center"/>
              <w:rPr>
                <w:rFonts w:eastAsia="Times New Roman" w:cs="Times New Roman"/>
                <w:b/>
                <w:bCs/>
                <w:sz w:val="18"/>
                <w:szCs w:val="18"/>
              </w:rPr>
            </w:pPr>
            <w:r w:rsidRPr="003F579D">
              <w:rPr>
                <w:rFonts w:eastAsia="Times New Roman" w:cs="Times New Roman"/>
                <w:b/>
                <w:bCs/>
                <w:sz w:val="18"/>
                <w:szCs w:val="18"/>
              </w:rPr>
              <w:t>№№</w:t>
            </w:r>
            <w:r w:rsidRPr="003F579D">
              <w:rPr>
                <w:rFonts w:eastAsia="Times New Roman" w:cs="Times New Roman"/>
                <w:b/>
                <w:bCs/>
                <w:sz w:val="18"/>
                <w:szCs w:val="18"/>
              </w:rPr>
              <w:br/>
              <w:t>п/п</w:t>
            </w:r>
          </w:p>
        </w:tc>
        <w:tc>
          <w:tcPr>
            <w:tcW w:w="9629" w:type="dxa"/>
            <w:vMerge w:val="restart"/>
            <w:shd w:val="clear" w:color="auto" w:fill="auto"/>
            <w:vAlign w:val="center"/>
            <w:hideMark/>
          </w:tcPr>
          <w:p w:rsidR="00D07B6F" w:rsidRPr="003F579D" w:rsidRDefault="00574B16" w:rsidP="006A3982">
            <w:pPr>
              <w:jc w:val="center"/>
              <w:rPr>
                <w:rFonts w:eastAsia="Times New Roman" w:cs="Times New Roman"/>
                <w:b/>
                <w:bCs/>
                <w:sz w:val="18"/>
                <w:szCs w:val="18"/>
              </w:rPr>
            </w:pPr>
            <w:r>
              <w:rPr>
                <w:rFonts w:eastAsia="Times New Roman" w:cs="Times New Roman"/>
                <w:b/>
                <w:bCs/>
                <w:sz w:val="18"/>
                <w:szCs w:val="18"/>
              </w:rPr>
              <w:t>Наименование административной процедуры</w:t>
            </w:r>
          </w:p>
        </w:tc>
      </w:tr>
      <w:tr w:rsidR="00D07B6F" w:rsidRPr="003F579D" w:rsidTr="00D07B6F">
        <w:trPr>
          <w:trHeight w:val="240"/>
        </w:trPr>
        <w:tc>
          <w:tcPr>
            <w:tcW w:w="578" w:type="dxa"/>
            <w:vMerge/>
            <w:vAlign w:val="center"/>
            <w:hideMark/>
          </w:tcPr>
          <w:p w:rsidR="00D07B6F" w:rsidRPr="003F579D" w:rsidRDefault="00D07B6F" w:rsidP="006A3982">
            <w:pPr>
              <w:rPr>
                <w:rFonts w:eastAsia="Times New Roman" w:cs="Times New Roman"/>
                <w:b/>
                <w:bCs/>
                <w:sz w:val="18"/>
                <w:szCs w:val="18"/>
              </w:rPr>
            </w:pPr>
          </w:p>
        </w:tc>
        <w:tc>
          <w:tcPr>
            <w:tcW w:w="9629" w:type="dxa"/>
            <w:vMerge/>
            <w:vAlign w:val="center"/>
            <w:hideMark/>
          </w:tcPr>
          <w:p w:rsidR="00D07B6F" w:rsidRPr="003F579D" w:rsidRDefault="00D07B6F" w:rsidP="006A3982">
            <w:pPr>
              <w:rPr>
                <w:rFonts w:eastAsia="Times New Roman" w:cs="Times New Roman"/>
                <w:b/>
                <w:bCs/>
                <w:sz w:val="18"/>
                <w:szCs w:val="18"/>
              </w:rPr>
            </w:pPr>
          </w:p>
        </w:tc>
      </w:tr>
      <w:tr w:rsidR="00D07B6F" w:rsidRPr="003F579D" w:rsidTr="00D07B6F">
        <w:trPr>
          <w:trHeight w:val="270"/>
        </w:trPr>
        <w:tc>
          <w:tcPr>
            <w:tcW w:w="578" w:type="dxa"/>
            <w:vMerge/>
            <w:vAlign w:val="center"/>
            <w:hideMark/>
          </w:tcPr>
          <w:p w:rsidR="00D07B6F" w:rsidRPr="003F579D" w:rsidRDefault="00D07B6F" w:rsidP="006A3982">
            <w:pPr>
              <w:rPr>
                <w:rFonts w:eastAsia="Times New Roman" w:cs="Times New Roman"/>
                <w:b/>
                <w:bCs/>
                <w:sz w:val="18"/>
                <w:szCs w:val="18"/>
              </w:rPr>
            </w:pPr>
          </w:p>
        </w:tc>
        <w:tc>
          <w:tcPr>
            <w:tcW w:w="9629" w:type="dxa"/>
            <w:vMerge/>
            <w:vAlign w:val="center"/>
            <w:hideMark/>
          </w:tcPr>
          <w:p w:rsidR="00D07B6F" w:rsidRPr="003F579D" w:rsidRDefault="00D07B6F" w:rsidP="006A3982">
            <w:pPr>
              <w:rPr>
                <w:rFonts w:eastAsia="Times New Roman" w:cs="Times New Roman"/>
                <w:b/>
                <w:bCs/>
                <w:sz w:val="18"/>
                <w:szCs w:val="18"/>
              </w:rPr>
            </w:pPr>
          </w:p>
        </w:tc>
      </w:tr>
      <w:tr w:rsidR="00D07B6F" w:rsidRPr="003F579D" w:rsidTr="00D07B6F">
        <w:trPr>
          <w:trHeight w:val="552"/>
        </w:trPr>
        <w:tc>
          <w:tcPr>
            <w:tcW w:w="578" w:type="dxa"/>
            <w:shd w:val="clear" w:color="auto" w:fill="auto"/>
            <w:vAlign w:val="center"/>
          </w:tcPr>
          <w:p w:rsidR="00D07B6F" w:rsidRPr="003F579D" w:rsidRDefault="00D07B6F" w:rsidP="006A3982">
            <w:pPr>
              <w:pStyle w:val="a5"/>
              <w:numPr>
                <w:ilvl w:val="0"/>
                <w:numId w:val="3"/>
              </w:numPr>
              <w:ind w:left="470" w:hanging="357"/>
              <w:rPr>
                <w:rFonts w:eastAsia="Times New Roman" w:cs="Times New Roman"/>
                <w:b/>
                <w:bCs/>
                <w:sz w:val="18"/>
                <w:szCs w:val="18"/>
              </w:rPr>
            </w:pPr>
          </w:p>
        </w:tc>
        <w:tc>
          <w:tcPr>
            <w:tcW w:w="9629" w:type="dxa"/>
            <w:shd w:val="clear" w:color="auto" w:fill="auto"/>
            <w:hideMark/>
          </w:tcPr>
          <w:p w:rsidR="00D07B6F" w:rsidRPr="003F579D" w:rsidRDefault="004978A5" w:rsidP="006A3982">
            <w:pPr>
              <w:rPr>
                <w:rFonts w:eastAsia="Times New Roman" w:cs="Times New Roman"/>
                <w:color w:val="000000"/>
              </w:rPr>
            </w:pPr>
            <w:r w:rsidRPr="004978A5">
              <w:rPr>
                <w:rFonts w:eastAsia="Times New Roman" w:cs="Times New Roman"/>
                <w:color w:val="000000"/>
              </w:rPr>
              <w:t>11.12.1</w:t>
            </w:r>
            <w:r>
              <w:rPr>
                <w:rFonts w:eastAsia="Times New Roman" w:cs="Times New Roman"/>
                <w:color w:val="000000"/>
              </w:rPr>
              <w:t>.</w:t>
            </w:r>
            <w:r w:rsidRPr="004978A5">
              <w:rPr>
                <w:rFonts w:eastAsia="Times New Roman" w:cs="Times New Roman"/>
                <w:color w:val="000000"/>
              </w:rPr>
              <w:t xml:space="preserve">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r>
      <w:tr w:rsidR="004978A5" w:rsidRPr="003F579D" w:rsidTr="00D07B6F">
        <w:trPr>
          <w:trHeight w:val="552"/>
        </w:trPr>
        <w:tc>
          <w:tcPr>
            <w:tcW w:w="578" w:type="dxa"/>
            <w:shd w:val="clear" w:color="auto" w:fill="auto"/>
            <w:vAlign w:val="center"/>
          </w:tcPr>
          <w:p w:rsidR="004978A5" w:rsidRPr="003F579D" w:rsidRDefault="004978A5" w:rsidP="006A3982">
            <w:pPr>
              <w:pStyle w:val="a5"/>
              <w:numPr>
                <w:ilvl w:val="0"/>
                <w:numId w:val="3"/>
              </w:numPr>
              <w:ind w:left="470" w:hanging="357"/>
              <w:rPr>
                <w:rFonts w:eastAsia="Times New Roman" w:cs="Times New Roman"/>
                <w:b/>
                <w:bCs/>
                <w:sz w:val="18"/>
                <w:szCs w:val="18"/>
              </w:rPr>
            </w:pPr>
          </w:p>
        </w:tc>
        <w:tc>
          <w:tcPr>
            <w:tcW w:w="9629" w:type="dxa"/>
            <w:shd w:val="clear" w:color="auto" w:fill="auto"/>
          </w:tcPr>
          <w:p w:rsidR="004978A5" w:rsidRPr="003F579D" w:rsidRDefault="004978A5" w:rsidP="006A3982">
            <w:pPr>
              <w:rPr>
                <w:rFonts w:eastAsia="Times New Roman" w:cs="Times New Roman"/>
                <w:color w:val="000000"/>
              </w:rPr>
            </w:pPr>
            <w:r w:rsidRPr="004978A5">
              <w:rPr>
                <w:rFonts w:eastAsia="Times New Roman" w:cs="Times New Roman"/>
                <w:color w:val="000000"/>
              </w:rPr>
              <w:t>16.6.4. Получение решения о согласовании использования не по назначению блокированного, одноквартирного жилого дома или его части</w:t>
            </w:r>
          </w:p>
        </w:tc>
      </w:tr>
      <w:tr w:rsidR="00D07B6F" w:rsidRPr="003F579D" w:rsidTr="00D07B6F">
        <w:trPr>
          <w:trHeight w:val="547"/>
        </w:trPr>
        <w:tc>
          <w:tcPr>
            <w:tcW w:w="578" w:type="dxa"/>
            <w:shd w:val="clear" w:color="auto" w:fill="auto"/>
            <w:vAlign w:val="center"/>
          </w:tcPr>
          <w:p w:rsidR="00D07B6F" w:rsidRPr="003F579D" w:rsidRDefault="00D07B6F" w:rsidP="006A3982">
            <w:pPr>
              <w:pStyle w:val="a5"/>
              <w:numPr>
                <w:ilvl w:val="0"/>
                <w:numId w:val="3"/>
              </w:numPr>
              <w:ind w:left="470" w:hanging="357"/>
              <w:rPr>
                <w:rFonts w:eastAsia="Times New Roman" w:cs="Times New Roman"/>
                <w:b/>
                <w:bCs/>
                <w:sz w:val="18"/>
                <w:szCs w:val="18"/>
              </w:rPr>
            </w:pPr>
          </w:p>
        </w:tc>
        <w:tc>
          <w:tcPr>
            <w:tcW w:w="9629" w:type="dxa"/>
            <w:shd w:val="clear" w:color="auto" w:fill="auto"/>
            <w:hideMark/>
          </w:tcPr>
          <w:p w:rsidR="00D07B6F" w:rsidRPr="003F579D" w:rsidRDefault="00D07B6F" w:rsidP="006A3982">
            <w:pPr>
              <w:rPr>
                <w:rFonts w:eastAsia="Times New Roman" w:cs="Times New Roman"/>
                <w:color w:val="000000"/>
              </w:rPr>
            </w:pPr>
            <w:r w:rsidRPr="003F579D">
              <w:rPr>
                <w:rFonts w:eastAsia="Times New Roman" w:cs="Times New Roman"/>
                <w:color w:val="000000"/>
              </w:rPr>
              <w:t>16.7.1. Получение разрешения на переустройство, перепланировку жилого помещения или нежилого помещения в жилом доме</w:t>
            </w:r>
          </w:p>
        </w:tc>
      </w:tr>
      <w:tr w:rsidR="00D07B6F" w:rsidRPr="003F579D" w:rsidTr="00D07B6F">
        <w:trPr>
          <w:trHeight w:val="569"/>
        </w:trPr>
        <w:tc>
          <w:tcPr>
            <w:tcW w:w="578" w:type="dxa"/>
            <w:shd w:val="clear" w:color="auto" w:fill="auto"/>
            <w:vAlign w:val="center"/>
          </w:tcPr>
          <w:p w:rsidR="00D07B6F" w:rsidRPr="003F579D" w:rsidRDefault="00D07B6F" w:rsidP="006A3982">
            <w:pPr>
              <w:pStyle w:val="a5"/>
              <w:numPr>
                <w:ilvl w:val="0"/>
                <w:numId w:val="3"/>
              </w:numPr>
              <w:ind w:left="470" w:hanging="357"/>
              <w:rPr>
                <w:rFonts w:eastAsia="Times New Roman" w:cs="Times New Roman"/>
                <w:b/>
                <w:bCs/>
                <w:sz w:val="18"/>
                <w:szCs w:val="18"/>
              </w:rPr>
            </w:pPr>
          </w:p>
        </w:tc>
        <w:tc>
          <w:tcPr>
            <w:tcW w:w="9629" w:type="dxa"/>
            <w:shd w:val="clear" w:color="auto" w:fill="auto"/>
            <w:hideMark/>
          </w:tcPr>
          <w:p w:rsidR="00D07B6F" w:rsidRPr="003F579D" w:rsidRDefault="00D07B6F" w:rsidP="006A3982">
            <w:pPr>
              <w:rPr>
                <w:rFonts w:eastAsia="Times New Roman" w:cs="Times New Roman"/>
                <w:color w:val="000000"/>
              </w:rPr>
            </w:pPr>
            <w:r w:rsidRPr="003F579D">
              <w:rPr>
                <w:rFonts w:eastAsia="Times New Roman" w:cs="Times New Roman"/>
                <w:color w:val="000000"/>
              </w:rPr>
              <w:t>16.7.2. Согласование самовольного переустройства, перепланировки жилого помещения или нежилого помещения в жилом доме</w:t>
            </w:r>
          </w:p>
        </w:tc>
      </w:tr>
      <w:tr w:rsidR="00D07B6F" w:rsidRPr="003F579D" w:rsidTr="00D07B6F">
        <w:trPr>
          <w:trHeight w:val="672"/>
        </w:trPr>
        <w:tc>
          <w:tcPr>
            <w:tcW w:w="578" w:type="dxa"/>
            <w:shd w:val="clear" w:color="auto" w:fill="auto"/>
            <w:vAlign w:val="center"/>
          </w:tcPr>
          <w:p w:rsidR="00D07B6F" w:rsidRPr="003F579D" w:rsidRDefault="00D07B6F" w:rsidP="006A3982">
            <w:pPr>
              <w:pStyle w:val="a5"/>
              <w:numPr>
                <w:ilvl w:val="0"/>
                <w:numId w:val="3"/>
              </w:numPr>
              <w:ind w:left="470" w:hanging="357"/>
              <w:rPr>
                <w:rFonts w:eastAsia="Times New Roman" w:cs="Times New Roman"/>
                <w:b/>
                <w:bCs/>
                <w:sz w:val="18"/>
                <w:szCs w:val="18"/>
              </w:rPr>
            </w:pPr>
          </w:p>
        </w:tc>
        <w:tc>
          <w:tcPr>
            <w:tcW w:w="9629" w:type="dxa"/>
            <w:shd w:val="clear" w:color="auto" w:fill="auto"/>
            <w:hideMark/>
          </w:tcPr>
          <w:p w:rsidR="00D07B6F" w:rsidRPr="003F579D" w:rsidRDefault="00D07B6F" w:rsidP="006A3982">
            <w:pPr>
              <w:rPr>
                <w:rFonts w:eastAsia="Times New Roman" w:cs="Times New Roman"/>
                <w:color w:val="000000"/>
              </w:rPr>
            </w:pPr>
            <w:r w:rsidRPr="003F579D">
              <w:rPr>
                <w:rFonts w:eastAsia="Times New Roman" w:cs="Times New Roman"/>
                <w:color w:val="000000"/>
              </w:rPr>
              <w:t>16.7.3. Получение решения о разрешении на реконструкцию жилого или нежилого помещения в многоквартирном, блокированном жилом доме или одноквартирного жилого дома</w:t>
            </w:r>
          </w:p>
        </w:tc>
      </w:tr>
      <w:tr w:rsidR="00D07B6F" w:rsidRPr="003F579D" w:rsidTr="00D07B6F">
        <w:trPr>
          <w:trHeight w:val="560"/>
        </w:trPr>
        <w:tc>
          <w:tcPr>
            <w:tcW w:w="578" w:type="dxa"/>
            <w:shd w:val="clear" w:color="auto" w:fill="auto"/>
            <w:vAlign w:val="center"/>
          </w:tcPr>
          <w:p w:rsidR="00D07B6F" w:rsidRPr="003F579D" w:rsidRDefault="00D07B6F" w:rsidP="006A3982">
            <w:pPr>
              <w:pStyle w:val="a5"/>
              <w:numPr>
                <w:ilvl w:val="0"/>
                <w:numId w:val="3"/>
              </w:numPr>
              <w:ind w:left="470" w:hanging="357"/>
              <w:rPr>
                <w:rFonts w:eastAsia="Times New Roman" w:cs="Times New Roman"/>
                <w:b/>
                <w:bCs/>
                <w:sz w:val="18"/>
                <w:szCs w:val="18"/>
              </w:rPr>
            </w:pPr>
          </w:p>
        </w:tc>
        <w:tc>
          <w:tcPr>
            <w:tcW w:w="9629" w:type="dxa"/>
            <w:shd w:val="clear" w:color="auto" w:fill="auto"/>
            <w:hideMark/>
          </w:tcPr>
          <w:p w:rsidR="00D07B6F" w:rsidRPr="003F579D" w:rsidRDefault="00D07B6F" w:rsidP="006A3982">
            <w:pPr>
              <w:rPr>
                <w:rFonts w:eastAsia="Times New Roman" w:cs="Times New Roman"/>
                <w:color w:val="000000"/>
              </w:rPr>
            </w:pPr>
            <w:r w:rsidRPr="003F579D">
              <w:rPr>
                <w:rFonts w:eastAsia="Times New Roman" w:cs="Times New Roman"/>
                <w:color w:val="000000"/>
              </w:rPr>
              <w:t>16.7.4. Получение решения о разрешении на реконструкцию нежилой капитальной постройки на придомовой территории</w:t>
            </w:r>
          </w:p>
        </w:tc>
      </w:tr>
      <w:tr w:rsidR="00D07B6F" w:rsidRPr="003F579D" w:rsidTr="00D07B6F">
        <w:trPr>
          <w:trHeight w:val="554"/>
        </w:trPr>
        <w:tc>
          <w:tcPr>
            <w:tcW w:w="578" w:type="dxa"/>
            <w:shd w:val="clear" w:color="auto" w:fill="auto"/>
            <w:vAlign w:val="center"/>
          </w:tcPr>
          <w:p w:rsidR="00D07B6F" w:rsidRPr="003F579D" w:rsidRDefault="00D07B6F" w:rsidP="006A3982">
            <w:pPr>
              <w:pStyle w:val="a5"/>
              <w:numPr>
                <w:ilvl w:val="0"/>
                <w:numId w:val="3"/>
              </w:numPr>
              <w:ind w:left="470" w:hanging="357"/>
              <w:rPr>
                <w:rFonts w:eastAsia="Times New Roman" w:cs="Times New Roman"/>
                <w:b/>
                <w:bCs/>
                <w:sz w:val="18"/>
                <w:szCs w:val="18"/>
              </w:rPr>
            </w:pPr>
          </w:p>
        </w:tc>
        <w:tc>
          <w:tcPr>
            <w:tcW w:w="9629" w:type="dxa"/>
            <w:shd w:val="clear" w:color="auto" w:fill="auto"/>
            <w:hideMark/>
          </w:tcPr>
          <w:p w:rsidR="00D07B6F" w:rsidRPr="003F579D" w:rsidRDefault="00D07B6F" w:rsidP="00AA0CEB">
            <w:pPr>
              <w:rPr>
                <w:rFonts w:eastAsia="Times New Roman" w:cs="Times New Roman"/>
                <w:color w:val="000000"/>
              </w:rPr>
            </w:pPr>
            <w:r w:rsidRPr="003F579D">
              <w:rPr>
                <w:rFonts w:eastAsia="Times New Roman" w:cs="Times New Roman"/>
                <w:color w:val="000000"/>
              </w:rPr>
              <w:t>16.8.</w:t>
            </w:r>
            <w:r w:rsidR="00CD761C" w:rsidRPr="00CD761C">
              <w:rPr>
                <w:rFonts w:eastAsia="Times New Roman" w:cs="Times New Roman"/>
                <w:color w:val="000000"/>
              </w:rPr>
              <w:t>1</w:t>
            </w:r>
            <w:r w:rsidRPr="003F579D">
              <w:rPr>
                <w:rFonts w:eastAsia="Times New Roman" w:cs="Times New Roman"/>
                <w:color w:val="000000"/>
              </w:rPr>
              <w:t>. Согласование установки</w:t>
            </w:r>
            <w:r w:rsidR="00AA0CEB">
              <w:rPr>
                <w:rFonts w:eastAsia="Times New Roman" w:cs="Times New Roman"/>
                <w:color w:val="000000"/>
              </w:rPr>
              <w:t xml:space="preserve">, </w:t>
            </w:r>
            <w:r w:rsidR="00AA0CEB" w:rsidRPr="00AA0CEB">
              <w:rPr>
                <w:rFonts w:eastAsia="Times New Roman" w:cs="Times New Roman"/>
                <w:color w:val="000000"/>
              </w:rPr>
              <w:t>в том числе  самовольно</w:t>
            </w:r>
            <w:r w:rsidR="00AA0CEB">
              <w:rPr>
                <w:rFonts w:eastAsia="Times New Roman" w:cs="Times New Roman"/>
                <w:color w:val="000000"/>
              </w:rPr>
              <w:t>й,</w:t>
            </w:r>
            <w:r w:rsidRPr="003F579D">
              <w:rPr>
                <w:rFonts w:eastAsia="Times New Roman" w:cs="Times New Roman"/>
                <w:color w:val="000000"/>
              </w:rPr>
              <w:t xml:space="preserve"> на крыше или фасаде многоквартирного жилого дома индивидуальной антенны или иной конструкции</w:t>
            </w:r>
            <w:r w:rsidR="00987675">
              <w:rPr>
                <w:rFonts w:eastAsia="Times New Roman" w:cs="Times New Roman"/>
                <w:color w:val="000000"/>
              </w:rPr>
              <w:t>.</w:t>
            </w:r>
          </w:p>
        </w:tc>
      </w:tr>
    </w:tbl>
    <w:p w:rsidR="00463D68" w:rsidRDefault="00463D68"/>
    <w:sectPr w:rsidR="00463D68" w:rsidSect="000243F6">
      <w:pgSz w:w="11906" w:h="16838"/>
      <w:pgMar w:top="993"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05" w:rsidRDefault="00357B05" w:rsidP="00BB0D52">
      <w:r>
        <w:separator/>
      </w:r>
    </w:p>
  </w:endnote>
  <w:endnote w:type="continuationSeparator" w:id="0">
    <w:p w:rsidR="00357B05" w:rsidRDefault="00357B05" w:rsidP="00BB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05" w:rsidRDefault="00357B05" w:rsidP="00BB0D52">
      <w:r>
        <w:separator/>
      </w:r>
    </w:p>
  </w:footnote>
  <w:footnote w:type="continuationSeparator" w:id="0">
    <w:p w:rsidR="00357B05" w:rsidRDefault="00357B05" w:rsidP="00BB0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55382"/>
      <w:docPartObj>
        <w:docPartGallery w:val="Page Numbers (Top of Page)"/>
        <w:docPartUnique/>
      </w:docPartObj>
    </w:sdtPr>
    <w:sdtEndPr/>
    <w:sdtContent>
      <w:p w:rsidR="00BB0D52" w:rsidRDefault="00BB0D52">
        <w:pPr>
          <w:pStyle w:val="a7"/>
          <w:jc w:val="center"/>
        </w:pPr>
        <w:r>
          <w:fldChar w:fldCharType="begin"/>
        </w:r>
        <w:r>
          <w:instrText>PAGE   \* MERGEFORMAT</w:instrText>
        </w:r>
        <w:r>
          <w:fldChar w:fldCharType="separate"/>
        </w:r>
        <w:r w:rsidR="009805B4">
          <w:rPr>
            <w:noProof/>
          </w:rPr>
          <w:t>2</w:t>
        </w:r>
        <w:r>
          <w:fldChar w:fldCharType="end"/>
        </w:r>
      </w:p>
    </w:sdtContent>
  </w:sdt>
  <w:p w:rsidR="00BB0D52" w:rsidRDefault="00BB0D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463FD"/>
    <w:multiLevelType w:val="hybridMultilevel"/>
    <w:tmpl w:val="603076AE"/>
    <w:lvl w:ilvl="0" w:tplc="31364B4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E31FCE"/>
    <w:multiLevelType w:val="hybridMultilevel"/>
    <w:tmpl w:val="BC00F594"/>
    <w:lvl w:ilvl="0" w:tplc="EA7C2B46">
      <w:start w:val="1"/>
      <w:numFmt w:val="decimal"/>
      <w:lvlText w:val="%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AF6B49"/>
    <w:multiLevelType w:val="hybridMultilevel"/>
    <w:tmpl w:val="584CEF8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F5"/>
    <w:rsid w:val="00003E11"/>
    <w:rsid w:val="000243F6"/>
    <w:rsid w:val="000A0251"/>
    <w:rsid w:val="00124DB7"/>
    <w:rsid w:val="00133225"/>
    <w:rsid w:val="00194540"/>
    <w:rsid w:val="001A3875"/>
    <w:rsid w:val="00276118"/>
    <w:rsid w:val="002B0464"/>
    <w:rsid w:val="002D5F5F"/>
    <w:rsid w:val="0031589A"/>
    <w:rsid w:val="0032647F"/>
    <w:rsid w:val="00357B05"/>
    <w:rsid w:val="003A1396"/>
    <w:rsid w:val="003A36E0"/>
    <w:rsid w:val="003F579D"/>
    <w:rsid w:val="0044699C"/>
    <w:rsid w:val="00463D68"/>
    <w:rsid w:val="004978A5"/>
    <w:rsid w:val="004A26F7"/>
    <w:rsid w:val="004C466A"/>
    <w:rsid w:val="004F3D5D"/>
    <w:rsid w:val="005102C8"/>
    <w:rsid w:val="00574B16"/>
    <w:rsid w:val="00581348"/>
    <w:rsid w:val="005A2D8D"/>
    <w:rsid w:val="005C5F59"/>
    <w:rsid w:val="00651B13"/>
    <w:rsid w:val="00677B89"/>
    <w:rsid w:val="00693B43"/>
    <w:rsid w:val="006A7F82"/>
    <w:rsid w:val="006B41D5"/>
    <w:rsid w:val="006C0016"/>
    <w:rsid w:val="006E2619"/>
    <w:rsid w:val="0070618A"/>
    <w:rsid w:val="007A4A07"/>
    <w:rsid w:val="007B78C2"/>
    <w:rsid w:val="007C2F28"/>
    <w:rsid w:val="0082233B"/>
    <w:rsid w:val="008C647D"/>
    <w:rsid w:val="008C69B5"/>
    <w:rsid w:val="008D032D"/>
    <w:rsid w:val="00920855"/>
    <w:rsid w:val="00971FF5"/>
    <w:rsid w:val="009805B4"/>
    <w:rsid w:val="00987675"/>
    <w:rsid w:val="009A0C85"/>
    <w:rsid w:val="009F3152"/>
    <w:rsid w:val="00A02439"/>
    <w:rsid w:val="00A4306D"/>
    <w:rsid w:val="00A70F3B"/>
    <w:rsid w:val="00AA0CEB"/>
    <w:rsid w:val="00AA5AEF"/>
    <w:rsid w:val="00AC0CE2"/>
    <w:rsid w:val="00AC4CB0"/>
    <w:rsid w:val="00AC5CE1"/>
    <w:rsid w:val="00AF2597"/>
    <w:rsid w:val="00B04198"/>
    <w:rsid w:val="00B174A0"/>
    <w:rsid w:val="00B60426"/>
    <w:rsid w:val="00B70006"/>
    <w:rsid w:val="00BB0D52"/>
    <w:rsid w:val="00C00332"/>
    <w:rsid w:val="00C27215"/>
    <w:rsid w:val="00C624BD"/>
    <w:rsid w:val="00CA2565"/>
    <w:rsid w:val="00CD761C"/>
    <w:rsid w:val="00D07B6F"/>
    <w:rsid w:val="00D25BA9"/>
    <w:rsid w:val="00D624A1"/>
    <w:rsid w:val="00D86F62"/>
    <w:rsid w:val="00D957CC"/>
    <w:rsid w:val="00DE52AE"/>
    <w:rsid w:val="00E26F0D"/>
    <w:rsid w:val="00E3669F"/>
    <w:rsid w:val="00E56A4C"/>
    <w:rsid w:val="00E76CDB"/>
    <w:rsid w:val="00E95706"/>
    <w:rsid w:val="00EA6D98"/>
    <w:rsid w:val="00F14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31D01-AE38-450B-8472-93A03992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2A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006"/>
    <w:rPr>
      <w:rFonts w:ascii="Tahoma" w:hAnsi="Tahoma" w:cs="Tahoma"/>
      <w:sz w:val="16"/>
      <w:szCs w:val="16"/>
    </w:rPr>
  </w:style>
  <w:style w:type="character" w:customStyle="1" w:styleId="a4">
    <w:name w:val="Текст выноски Знак"/>
    <w:basedOn w:val="a0"/>
    <w:link w:val="a3"/>
    <w:uiPriority w:val="99"/>
    <w:semiHidden/>
    <w:rsid w:val="00B70006"/>
    <w:rPr>
      <w:rFonts w:ascii="Tahoma" w:hAnsi="Tahoma" w:cs="Tahoma"/>
      <w:sz w:val="16"/>
      <w:szCs w:val="16"/>
      <w:lang w:eastAsia="ru-RU"/>
    </w:rPr>
  </w:style>
  <w:style w:type="paragraph" w:styleId="a5">
    <w:name w:val="List Paragraph"/>
    <w:basedOn w:val="a"/>
    <w:uiPriority w:val="34"/>
    <w:qFormat/>
    <w:rsid w:val="00E95706"/>
    <w:pPr>
      <w:ind w:left="720"/>
      <w:contextualSpacing/>
    </w:pPr>
  </w:style>
  <w:style w:type="character" w:styleId="a6">
    <w:name w:val="Hyperlink"/>
    <w:basedOn w:val="a0"/>
    <w:uiPriority w:val="99"/>
    <w:semiHidden/>
    <w:unhideWhenUsed/>
    <w:rsid w:val="003F579D"/>
    <w:rPr>
      <w:color w:val="0000FF"/>
      <w:u w:val="single"/>
    </w:rPr>
  </w:style>
  <w:style w:type="paragraph" w:styleId="a7">
    <w:name w:val="header"/>
    <w:basedOn w:val="a"/>
    <w:link w:val="a8"/>
    <w:uiPriority w:val="99"/>
    <w:unhideWhenUsed/>
    <w:rsid w:val="00BB0D52"/>
    <w:pPr>
      <w:tabs>
        <w:tab w:val="center" w:pos="4677"/>
        <w:tab w:val="right" w:pos="9355"/>
      </w:tabs>
    </w:pPr>
  </w:style>
  <w:style w:type="character" w:customStyle="1" w:styleId="a8">
    <w:name w:val="Верхний колонтитул Знак"/>
    <w:basedOn w:val="a0"/>
    <w:link w:val="a7"/>
    <w:uiPriority w:val="99"/>
    <w:rsid w:val="00BB0D52"/>
    <w:rPr>
      <w:rFonts w:ascii="Times New Roman" w:hAnsi="Times New Roman"/>
      <w:sz w:val="24"/>
      <w:szCs w:val="24"/>
      <w:lang w:eastAsia="ru-RU"/>
    </w:rPr>
  </w:style>
  <w:style w:type="paragraph" w:styleId="a9">
    <w:name w:val="footer"/>
    <w:basedOn w:val="a"/>
    <w:link w:val="aa"/>
    <w:uiPriority w:val="99"/>
    <w:unhideWhenUsed/>
    <w:rsid w:val="00BB0D52"/>
    <w:pPr>
      <w:tabs>
        <w:tab w:val="center" w:pos="4677"/>
        <w:tab w:val="right" w:pos="9355"/>
      </w:tabs>
    </w:pPr>
  </w:style>
  <w:style w:type="character" w:customStyle="1" w:styleId="aa">
    <w:name w:val="Нижний колонтитул Знак"/>
    <w:basedOn w:val="a0"/>
    <w:link w:val="a9"/>
    <w:uiPriority w:val="99"/>
    <w:rsid w:val="00BB0D52"/>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235">
      <w:bodyDiv w:val="1"/>
      <w:marLeft w:val="0"/>
      <w:marRight w:val="0"/>
      <w:marTop w:val="0"/>
      <w:marBottom w:val="0"/>
      <w:divBdr>
        <w:top w:val="none" w:sz="0" w:space="0" w:color="auto"/>
        <w:left w:val="none" w:sz="0" w:space="0" w:color="auto"/>
        <w:bottom w:val="none" w:sz="0" w:space="0" w:color="auto"/>
        <w:right w:val="none" w:sz="0" w:space="0" w:color="auto"/>
      </w:divBdr>
    </w:div>
    <w:div w:id="103547724">
      <w:bodyDiv w:val="1"/>
      <w:marLeft w:val="0"/>
      <w:marRight w:val="0"/>
      <w:marTop w:val="0"/>
      <w:marBottom w:val="0"/>
      <w:divBdr>
        <w:top w:val="none" w:sz="0" w:space="0" w:color="auto"/>
        <w:left w:val="none" w:sz="0" w:space="0" w:color="auto"/>
        <w:bottom w:val="none" w:sz="0" w:space="0" w:color="auto"/>
        <w:right w:val="none" w:sz="0" w:space="0" w:color="auto"/>
      </w:divBdr>
    </w:div>
    <w:div w:id="155607789">
      <w:bodyDiv w:val="1"/>
      <w:marLeft w:val="0"/>
      <w:marRight w:val="0"/>
      <w:marTop w:val="0"/>
      <w:marBottom w:val="0"/>
      <w:divBdr>
        <w:top w:val="none" w:sz="0" w:space="0" w:color="auto"/>
        <w:left w:val="none" w:sz="0" w:space="0" w:color="auto"/>
        <w:bottom w:val="none" w:sz="0" w:space="0" w:color="auto"/>
        <w:right w:val="none" w:sz="0" w:space="0" w:color="auto"/>
      </w:divBdr>
    </w:div>
    <w:div w:id="190728022">
      <w:bodyDiv w:val="1"/>
      <w:marLeft w:val="0"/>
      <w:marRight w:val="0"/>
      <w:marTop w:val="0"/>
      <w:marBottom w:val="0"/>
      <w:divBdr>
        <w:top w:val="none" w:sz="0" w:space="0" w:color="auto"/>
        <w:left w:val="none" w:sz="0" w:space="0" w:color="auto"/>
        <w:bottom w:val="none" w:sz="0" w:space="0" w:color="auto"/>
        <w:right w:val="none" w:sz="0" w:space="0" w:color="auto"/>
      </w:divBdr>
    </w:div>
    <w:div w:id="213085685">
      <w:bodyDiv w:val="1"/>
      <w:marLeft w:val="0"/>
      <w:marRight w:val="0"/>
      <w:marTop w:val="0"/>
      <w:marBottom w:val="0"/>
      <w:divBdr>
        <w:top w:val="none" w:sz="0" w:space="0" w:color="auto"/>
        <w:left w:val="none" w:sz="0" w:space="0" w:color="auto"/>
        <w:bottom w:val="none" w:sz="0" w:space="0" w:color="auto"/>
        <w:right w:val="none" w:sz="0" w:space="0" w:color="auto"/>
      </w:divBdr>
    </w:div>
    <w:div w:id="953368571">
      <w:bodyDiv w:val="1"/>
      <w:marLeft w:val="0"/>
      <w:marRight w:val="0"/>
      <w:marTop w:val="0"/>
      <w:marBottom w:val="0"/>
      <w:divBdr>
        <w:top w:val="none" w:sz="0" w:space="0" w:color="auto"/>
        <w:left w:val="none" w:sz="0" w:space="0" w:color="auto"/>
        <w:bottom w:val="none" w:sz="0" w:space="0" w:color="auto"/>
        <w:right w:val="none" w:sz="0" w:space="0" w:color="auto"/>
      </w:divBdr>
    </w:div>
    <w:div w:id="977227717">
      <w:bodyDiv w:val="1"/>
      <w:marLeft w:val="0"/>
      <w:marRight w:val="0"/>
      <w:marTop w:val="0"/>
      <w:marBottom w:val="0"/>
      <w:divBdr>
        <w:top w:val="none" w:sz="0" w:space="0" w:color="auto"/>
        <w:left w:val="none" w:sz="0" w:space="0" w:color="auto"/>
        <w:bottom w:val="none" w:sz="0" w:space="0" w:color="auto"/>
        <w:right w:val="none" w:sz="0" w:space="0" w:color="auto"/>
      </w:divBdr>
    </w:div>
    <w:div w:id="1043793743">
      <w:bodyDiv w:val="1"/>
      <w:marLeft w:val="0"/>
      <w:marRight w:val="0"/>
      <w:marTop w:val="0"/>
      <w:marBottom w:val="0"/>
      <w:divBdr>
        <w:top w:val="none" w:sz="0" w:space="0" w:color="auto"/>
        <w:left w:val="none" w:sz="0" w:space="0" w:color="auto"/>
        <w:bottom w:val="none" w:sz="0" w:space="0" w:color="auto"/>
        <w:right w:val="none" w:sz="0" w:space="0" w:color="auto"/>
      </w:divBdr>
    </w:div>
    <w:div w:id="1069381442">
      <w:bodyDiv w:val="1"/>
      <w:marLeft w:val="0"/>
      <w:marRight w:val="0"/>
      <w:marTop w:val="0"/>
      <w:marBottom w:val="0"/>
      <w:divBdr>
        <w:top w:val="none" w:sz="0" w:space="0" w:color="auto"/>
        <w:left w:val="none" w:sz="0" w:space="0" w:color="auto"/>
        <w:bottom w:val="none" w:sz="0" w:space="0" w:color="auto"/>
        <w:right w:val="none" w:sz="0" w:space="0" w:color="auto"/>
      </w:divBdr>
    </w:div>
    <w:div w:id="1136753456">
      <w:bodyDiv w:val="1"/>
      <w:marLeft w:val="0"/>
      <w:marRight w:val="0"/>
      <w:marTop w:val="0"/>
      <w:marBottom w:val="0"/>
      <w:divBdr>
        <w:top w:val="none" w:sz="0" w:space="0" w:color="auto"/>
        <w:left w:val="none" w:sz="0" w:space="0" w:color="auto"/>
        <w:bottom w:val="none" w:sz="0" w:space="0" w:color="auto"/>
        <w:right w:val="none" w:sz="0" w:space="0" w:color="auto"/>
      </w:divBdr>
    </w:div>
    <w:div w:id="1174951543">
      <w:bodyDiv w:val="1"/>
      <w:marLeft w:val="0"/>
      <w:marRight w:val="0"/>
      <w:marTop w:val="0"/>
      <w:marBottom w:val="0"/>
      <w:divBdr>
        <w:top w:val="none" w:sz="0" w:space="0" w:color="auto"/>
        <w:left w:val="none" w:sz="0" w:space="0" w:color="auto"/>
        <w:bottom w:val="none" w:sz="0" w:space="0" w:color="auto"/>
        <w:right w:val="none" w:sz="0" w:space="0" w:color="auto"/>
      </w:divBdr>
    </w:div>
    <w:div w:id="1873030520">
      <w:bodyDiv w:val="1"/>
      <w:marLeft w:val="0"/>
      <w:marRight w:val="0"/>
      <w:marTop w:val="0"/>
      <w:marBottom w:val="0"/>
      <w:divBdr>
        <w:top w:val="none" w:sz="0" w:space="0" w:color="auto"/>
        <w:left w:val="none" w:sz="0" w:space="0" w:color="auto"/>
        <w:bottom w:val="none" w:sz="0" w:space="0" w:color="auto"/>
        <w:right w:val="none" w:sz="0" w:space="0" w:color="auto"/>
      </w:divBdr>
    </w:div>
    <w:div w:id="1958246962">
      <w:bodyDiv w:val="1"/>
      <w:marLeft w:val="0"/>
      <w:marRight w:val="0"/>
      <w:marTop w:val="0"/>
      <w:marBottom w:val="0"/>
      <w:divBdr>
        <w:top w:val="none" w:sz="0" w:space="0" w:color="auto"/>
        <w:left w:val="none" w:sz="0" w:space="0" w:color="auto"/>
        <w:bottom w:val="none" w:sz="0" w:space="0" w:color="auto"/>
        <w:right w:val="none" w:sz="0" w:space="0" w:color="auto"/>
      </w:divBdr>
    </w:div>
    <w:div w:id="203236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1735</Words>
  <Characters>9893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Пожиток Нелли Константиновна</dc:creator>
  <cp:lastModifiedBy>Пожиток Нелли Константиновна</cp:lastModifiedBy>
  <cp:revision>2</cp:revision>
  <cp:lastPrinted>2022-11-01T07:37:00Z</cp:lastPrinted>
  <dcterms:created xsi:type="dcterms:W3CDTF">2024-03-28T15:40:00Z</dcterms:created>
  <dcterms:modified xsi:type="dcterms:W3CDTF">2024-03-28T15:40:00Z</dcterms:modified>
</cp:coreProperties>
</file>